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20" w:rsidRPr="004448DD" w:rsidRDefault="00797A20" w:rsidP="008F1F87">
      <w:pPr>
        <w:spacing w:after="0"/>
        <w:jc w:val="right"/>
        <w:rPr>
          <w:rFonts w:asciiTheme="majorHAnsi" w:hAnsiTheme="majorHAnsi"/>
          <w:sz w:val="24"/>
          <w:szCs w:val="24"/>
          <w:lang w:val="es-MX"/>
        </w:rPr>
      </w:pPr>
    </w:p>
    <w:p w:rsidR="00ED7FBB" w:rsidRDefault="00A86E89" w:rsidP="00A86E89">
      <w:pPr>
        <w:tabs>
          <w:tab w:val="left" w:pos="559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MX"/>
        </w:rPr>
      </w:pPr>
      <w:r w:rsidRPr="00A86E89">
        <w:rPr>
          <w:rFonts w:asciiTheme="majorHAnsi" w:hAnsiTheme="majorHAnsi"/>
          <w:b/>
          <w:sz w:val="24"/>
          <w:szCs w:val="24"/>
          <w:u w:val="single"/>
          <w:lang w:val="es-MX"/>
        </w:rPr>
        <w:t>ACTA N°1 PARA LA PLANIFICACIÓN DE LA RENDICIÓN D</w:t>
      </w:r>
      <w:r w:rsidR="00BD199F">
        <w:rPr>
          <w:rFonts w:asciiTheme="majorHAnsi" w:hAnsiTheme="majorHAnsi"/>
          <w:b/>
          <w:sz w:val="24"/>
          <w:szCs w:val="24"/>
          <w:u w:val="single"/>
          <w:lang w:val="es-MX"/>
        </w:rPr>
        <w:t xml:space="preserve">E CUENTAS </w:t>
      </w:r>
    </w:p>
    <w:p w:rsidR="00A86E89" w:rsidRPr="00A86E89" w:rsidRDefault="00BD199F" w:rsidP="00A86E89">
      <w:pPr>
        <w:tabs>
          <w:tab w:val="left" w:pos="559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MX"/>
        </w:rPr>
      </w:pPr>
      <w:r>
        <w:rPr>
          <w:rFonts w:asciiTheme="majorHAnsi" w:hAnsiTheme="majorHAnsi"/>
          <w:b/>
          <w:sz w:val="24"/>
          <w:szCs w:val="24"/>
          <w:u w:val="single"/>
          <w:lang w:val="es-MX"/>
        </w:rPr>
        <w:t>EJERCICIO FISCAL 2025</w:t>
      </w:r>
    </w:p>
    <w:p w:rsidR="00A86E89" w:rsidRDefault="00A86E89" w:rsidP="00A86E89">
      <w:pPr>
        <w:tabs>
          <w:tab w:val="left" w:pos="559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MX"/>
        </w:rPr>
      </w:pPr>
    </w:p>
    <w:p w:rsidR="00A86E89" w:rsidRDefault="00A86E89" w:rsidP="00A86E89">
      <w:pPr>
        <w:spacing w:after="0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En la Parroquia Aláquez </w:t>
      </w:r>
      <w:r w:rsidR="00ED7FBB">
        <w:rPr>
          <w:rFonts w:asciiTheme="majorHAnsi" w:hAnsiTheme="majorHAnsi"/>
          <w:sz w:val="24"/>
          <w:szCs w:val="24"/>
          <w:lang w:val="es-MX"/>
        </w:rPr>
        <w:t>18 días del mes de marzo</w:t>
      </w:r>
      <w:r w:rsidR="00A52D7F">
        <w:rPr>
          <w:rFonts w:asciiTheme="majorHAnsi" w:hAnsiTheme="majorHAnsi"/>
          <w:sz w:val="24"/>
          <w:szCs w:val="24"/>
          <w:lang w:val="es-MX"/>
        </w:rPr>
        <w:t xml:space="preserve"> del 2026</w:t>
      </w:r>
      <w:r>
        <w:rPr>
          <w:rFonts w:asciiTheme="majorHAnsi" w:hAnsiTheme="majorHAnsi"/>
          <w:sz w:val="24"/>
          <w:szCs w:val="24"/>
          <w:lang w:val="es-MX"/>
        </w:rPr>
        <w:t>, en las oficinas del GAD Parroquial, siendo las 15:00 pm se instala la reunión con el siguiente orden del día:</w:t>
      </w:r>
    </w:p>
    <w:p w:rsidR="00A86E89" w:rsidRPr="009008C7" w:rsidRDefault="00A86E89" w:rsidP="00A86E89">
      <w:pPr>
        <w:pStyle w:val="Prrafodelista"/>
        <w:numPr>
          <w:ilvl w:val="0"/>
          <w:numId w:val="5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08C7">
        <w:rPr>
          <w:rFonts w:asciiTheme="majorHAnsi" w:hAnsiTheme="majorHAnsi"/>
          <w:sz w:val="24"/>
          <w:szCs w:val="24"/>
          <w:lang w:val="es-MX"/>
        </w:rPr>
        <w:t>Constatación del Quórum.</w:t>
      </w:r>
    </w:p>
    <w:p w:rsidR="00A86E89" w:rsidRPr="009008C7" w:rsidRDefault="00A86E89" w:rsidP="00A86E89">
      <w:pPr>
        <w:pStyle w:val="Prrafodelista"/>
        <w:numPr>
          <w:ilvl w:val="0"/>
          <w:numId w:val="5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08C7">
        <w:rPr>
          <w:rFonts w:asciiTheme="majorHAnsi" w:hAnsiTheme="majorHAnsi"/>
          <w:sz w:val="24"/>
          <w:szCs w:val="24"/>
          <w:lang w:val="es-MX"/>
        </w:rPr>
        <w:t xml:space="preserve">Palabras de bienvenida a cargo del Sr. Benjamín Pucuji Presidente del GAD Parroquial de Aláquez. </w:t>
      </w:r>
    </w:p>
    <w:p w:rsidR="00C16AB9" w:rsidRPr="00C16AB9" w:rsidRDefault="00C16AB9" w:rsidP="00C16AB9">
      <w:pPr>
        <w:pStyle w:val="Prrafodelista"/>
        <w:numPr>
          <w:ilvl w:val="0"/>
          <w:numId w:val="5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C16AB9">
        <w:rPr>
          <w:rFonts w:asciiTheme="majorHAnsi" w:hAnsiTheme="majorHAnsi"/>
          <w:sz w:val="24"/>
          <w:szCs w:val="24"/>
          <w:lang w:val="es-MX"/>
        </w:rPr>
        <w:t>Intervención de la Ing. Mónica Borja, Tesorera del GAD Parroquial d Aláquez.</w:t>
      </w:r>
    </w:p>
    <w:p w:rsidR="00A86E89" w:rsidRPr="009008C7" w:rsidRDefault="00A86E89" w:rsidP="00A86E89">
      <w:pPr>
        <w:pStyle w:val="Prrafodelista"/>
        <w:numPr>
          <w:ilvl w:val="0"/>
          <w:numId w:val="5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08C7">
        <w:rPr>
          <w:rFonts w:asciiTheme="majorHAnsi" w:hAnsiTheme="majorHAnsi"/>
          <w:sz w:val="24"/>
          <w:szCs w:val="24"/>
          <w:lang w:val="es-MX"/>
        </w:rPr>
        <w:t>Intervención de los asistentes.</w:t>
      </w:r>
    </w:p>
    <w:p w:rsidR="00A86E89" w:rsidRPr="009008C7" w:rsidRDefault="00A86E89" w:rsidP="00A86E89">
      <w:pPr>
        <w:pStyle w:val="Prrafodelista"/>
        <w:numPr>
          <w:ilvl w:val="0"/>
          <w:numId w:val="5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08C7">
        <w:rPr>
          <w:rFonts w:asciiTheme="majorHAnsi" w:hAnsiTheme="majorHAnsi"/>
          <w:sz w:val="24"/>
          <w:szCs w:val="24"/>
          <w:lang w:val="es-MX"/>
        </w:rPr>
        <w:t>Resoluciones.</w:t>
      </w:r>
    </w:p>
    <w:p w:rsidR="00A86E89" w:rsidRPr="009008C7" w:rsidRDefault="00A86E89" w:rsidP="00A86E89">
      <w:pPr>
        <w:pStyle w:val="Prrafodelista"/>
        <w:numPr>
          <w:ilvl w:val="0"/>
          <w:numId w:val="5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08C7">
        <w:rPr>
          <w:rFonts w:asciiTheme="majorHAnsi" w:hAnsiTheme="majorHAnsi"/>
          <w:sz w:val="24"/>
          <w:szCs w:val="24"/>
          <w:lang w:val="es-MX"/>
        </w:rPr>
        <w:t>Clausura.</w:t>
      </w:r>
    </w:p>
    <w:p w:rsidR="00A86E89" w:rsidRPr="00320C00" w:rsidRDefault="00A86E89" w:rsidP="00A86E89">
      <w:pPr>
        <w:tabs>
          <w:tab w:val="left" w:pos="5595"/>
        </w:tabs>
        <w:spacing w:after="0"/>
        <w:ind w:left="360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320C00">
        <w:rPr>
          <w:rFonts w:asciiTheme="majorHAnsi" w:hAnsiTheme="majorHAnsi"/>
          <w:b/>
          <w:sz w:val="24"/>
          <w:szCs w:val="24"/>
          <w:lang w:val="es-MX"/>
        </w:rPr>
        <w:t>DESARROLLO: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1.- PRIMERO</w:t>
      </w:r>
      <w:r w:rsidRPr="00192B25">
        <w:rPr>
          <w:rFonts w:asciiTheme="majorHAnsi" w:hAnsiTheme="majorHAnsi"/>
          <w:b/>
          <w:sz w:val="24"/>
          <w:szCs w:val="24"/>
          <w:lang w:val="es-MX"/>
        </w:rPr>
        <w:t>.- Constatación del Quórum.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Procedemos a constatar el quórum contando con la presencia de los siguientes asistentes: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Carlos Bastidas (Presidente de la Comisión),</w:t>
      </w:r>
    </w:p>
    <w:p w:rsidR="00A86E89" w:rsidRDefault="009008C7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Lic. Martha Méndez</w:t>
      </w:r>
      <w:r w:rsidR="00A86E89">
        <w:rPr>
          <w:rFonts w:asciiTheme="majorHAnsi" w:hAnsiTheme="majorHAnsi"/>
          <w:sz w:val="24"/>
          <w:szCs w:val="24"/>
          <w:lang w:val="es-MX"/>
        </w:rPr>
        <w:t xml:space="preserve"> (Secretaria de la Comisión),</w:t>
      </w:r>
    </w:p>
    <w:p w:rsidR="00A86E89" w:rsidRDefault="009008C7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Raúl Chicaiza</w:t>
      </w:r>
      <w:r w:rsidR="00A86E89">
        <w:rPr>
          <w:rFonts w:asciiTheme="majorHAnsi" w:hAnsiTheme="majorHAnsi"/>
          <w:sz w:val="24"/>
          <w:szCs w:val="24"/>
          <w:lang w:val="es-MX"/>
        </w:rPr>
        <w:t xml:space="preserve"> (Vocal de Comisión de Planificación),</w:t>
      </w:r>
    </w:p>
    <w:p w:rsidR="00A86E89" w:rsidRDefault="009008C7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Guido Almachi</w:t>
      </w:r>
      <w:r w:rsidR="00A86E89">
        <w:rPr>
          <w:rFonts w:asciiTheme="majorHAnsi" w:hAnsiTheme="majorHAnsi"/>
          <w:sz w:val="24"/>
          <w:szCs w:val="24"/>
          <w:lang w:val="es-MX"/>
        </w:rPr>
        <w:t xml:space="preserve"> (Vocal de Comisión de Planificación),</w:t>
      </w:r>
    </w:p>
    <w:p w:rsidR="009008C7" w:rsidRDefault="009008C7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Dr. Jorge Pacheco (Vocal de Comisión de Planificación),</w:t>
      </w:r>
      <w:bookmarkStart w:id="0" w:name="_GoBack"/>
      <w:bookmarkEnd w:id="0"/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Benjamín Pucuji (Presidente del GAD Parroquial de Aláquez),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Lourdes Amón (Vocal del GAD)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Arq. Alex Quimbita (Vocal del GAD),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Marcelo Molina (Vocal del GAD),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Edwin Gualotuña (Vocal del GAD)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Mónica Borja (Tesorera del GAD),</w:t>
      </w:r>
    </w:p>
    <w:p w:rsidR="00A86E89" w:rsidRDefault="00A86E89" w:rsidP="00A86E89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Miryan Álvarez (</w:t>
      </w:r>
      <w:r w:rsidR="00CC255C">
        <w:rPr>
          <w:rFonts w:asciiTheme="majorHAnsi" w:hAnsiTheme="majorHAnsi"/>
          <w:sz w:val="24"/>
          <w:szCs w:val="24"/>
          <w:lang w:val="es-MX"/>
        </w:rPr>
        <w:t>Secretaria</w:t>
      </w:r>
      <w:r>
        <w:rPr>
          <w:rFonts w:asciiTheme="majorHAnsi" w:hAnsiTheme="majorHAnsi"/>
          <w:sz w:val="24"/>
          <w:szCs w:val="24"/>
          <w:lang w:val="es-MX"/>
        </w:rPr>
        <w:t xml:space="preserve"> del GAD).</w:t>
      </w:r>
    </w:p>
    <w:p w:rsidR="00A86E89" w:rsidRPr="00713B66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2.-SEGUNDO.- Saludo de bienvenida e instalación de la sesión por parte del Presidente del GAD Parroquial Sr. Benjamín Pucuji.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</w:t>
      </w:r>
      <w:r w:rsidR="004F7292">
        <w:rPr>
          <w:rFonts w:asciiTheme="majorHAnsi" w:hAnsiTheme="majorHAnsi"/>
          <w:sz w:val="24"/>
          <w:szCs w:val="24"/>
          <w:lang w:val="es-MX"/>
        </w:rPr>
        <w:t>palabra el Sr. Benjamín Pucuji en calidad de Presidente del GAD Parroquial de Aláquez</w:t>
      </w:r>
      <w:r>
        <w:rPr>
          <w:rFonts w:asciiTheme="majorHAnsi" w:hAnsiTheme="majorHAnsi"/>
          <w:sz w:val="24"/>
          <w:szCs w:val="24"/>
          <w:lang w:val="es-MX"/>
        </w:rPr>
        <w:t xml:space="preserve"> y expresa lo siguiente: </w:t>
      </w:r>
      <w:r w:rsidR="00CC255C">
        <w:rPr>
          <w:rFonts w:asciiTheme="majorHAnsi" w:hAnsiTheme="majorHAnsi"/>
          <w:sz w:val="24"/>
          <w:szCs w:val="24"/>
          <w:lang w:val="es-MX"/>
        </w:rPr>
        <w:t xml:space="preserve">agradezco la presencia de cada uno de ustedes señores vocales e integrantes de la Comisión de Planificación y Transparencia de la </w:t>
      </w:r>
      <w:r w:rsidR="00CC255C">
        <w:rPr>
          <w:rFonts w:asciiTheme="majorHAnsi" w:hAnsiTheme="majorHAnsi"/>
          <w:sz w:val="24"/>
          <w:szCs w:val="24"/>
          <w:lang w:val="es-MX"/>
        </w:rPr>
        <w:lastRenderedPageBreak/>
        <w:t>Parroquia</w:t>
      </w:r>
      <w:r w:rsidR="00186494">
        <w:rPr>
          <w:rFonts w:asciiTheme="majorHAnsi" w:hAnsiTheme="majorHAnsi"/>
          <w:sz w:val="24"/>
          <w:szCs w:val="24"/>
          <w:lang w:val="es-MX"/>
        </w:rPr>
        <w:t>, esta reunión tiene por objetivo dar inicio al proceso de Rendición de Cuentas del año 2025, para ello el día de hoy iniciaremos con la prim</w:t>
      </w:r>
      <w:r w:rsidR="009610C7">
        <w:rPr>
          <w:rFonts w:asciiTheme="majorHAnsi" w:hAnsiTheme="majorHAnsi"/>
          <w:sz w:val="24"/>
          <w:szCs w:val="24"/>
          <w:lang w:val="es-MX"/>
        </w:rPr>
        <w:t>era fase, ya que este proceso se desarrolla en diferentes fases.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BD199F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94136A">
        <w:rPr>
          <w:rFonts w:asciiTheme="majorHAnsi" w:hAnsiTheme="majorHAnsi"/>
          <w:b/>
          <w:sz w:val="24"/>
          <w:szCs w:val="24"/>
          <w:lang w:val="es-MX"/>
        </w:rPr>
        <w:t xml:space="preserve">3.- TERCERO.- </w:t>
      </w:r>
      <w:r w:rsidR="00BD199F">
        <w:rPr>
          <w:rFonts w:asciiTheme="majorHAnsi" w:hAnsiTheme="majorHAnsi"/>
          <w:b/>
          <w:sz w:val="24"/>
          <w:szCs w:val="24"/>
          <w:lang w:val="es-MX"/>
        </w:rPr>
        <w:t>Inter</w:t>
      </w:r>
      <w:r w:rsidR="00E71349">
        <w:rPr>
          <w:rFonts w:asciiTheme="majorHAnsi" w:hAnsiTheme="majorHAnsi"/>
          <w:b/>
          <w:sz w:val="24"/>
          <w:szCs w:val="24"/>
          <w:lang w:val="es-MX"/>
        </w:rPr>
        <w:t>vención de la Ing. Mónica Borja</w:t>
      </w:r>
      <w:r w:rsidR="00BD199F">
        <w:rPr>
          <w:rFonts w:asciiTheme="majorHAnsi" w:hAnsiTheme="majorHAnsi"/>
          <w:b/>
          <w:sz w:val="24"/>
          <w:szCs w:val="24"/>
          <w:lang w:val="es-MX"/>
        </w:rPr>
        <w:t xml:space="preserve">, </w:t>
      </w:r>
      <w:r w:rsidR="00C96F3A">
        <w:rPr>
          <w:rFonts w:asciiTheme="majorHAnsi" w:hAnsiTheme="majorHAnsi"/>
          <w:b/>
          <w:sz w:val="24"/>
          <w:szCs w:val="24"/>
          <w:lang w:val="es-MX"/>
        </w:rPr>
        <w:t>Tesorera del GAD Parroquial d Aláquez.</w:t>
      </w:r>
    </w:p>
    <w:p w:rsidR="00E71349" w:rsidRDefault="005D2EB1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la Ing. Mónica Borja, e informa que para este proceso se ha </w:t>
      </w:r>
      <w:r w:rsidR="00BD199F">
        <w:rPr>
          <w:rFonts w:asciiTheme="majorHAnsi" w:hAnsiTheme="majorHAnsi"/>
          <w:sz w:val="24"/>
          <w:szCs w:val="24"/>
          <w:lang w:val="es-MX"/>
        </w:rPr>
        <w:t>conforma</w:t>
      </w:r>
      <w:r>
        <w:rPr>
          <w:rFonts w:asciiTheme="majorHAnsi" w:hAnsiTheme="majorHAnsi"/>
          <w:sz w:val="24"/>
          <w:szCs w:val="24"/>
          <w:lang w:val="es-MX"/>
        </w:rPr>
        <w:t xml:space="preserve">do </w:t>
      </w:r>
      <w:r w:rsidR="00BD199F">
        <w:rPr>
          <w:rFonts w:asciiTheme="majorHAnsi" w:hAnsiTheme="majorHAnsi"/>
          <w:sz w:val="24"/>
          <w:szCs w:val="24"/>
          <w:lang w:val="es-MX"/>
        </w:rPr>
        <w:t xml:space="preserve">la </w:t>
      </w:r>
      <w:r>
        <w:rPr>
          <w:rFonts w:asciiTheme="majorHAnsi" w:hAnsiTheme="majorHAnsi"/>
          <w:sz w:val="24"/>
          <w:szCs w:val="24"/>
          <w:lang w:val="es-MX"/>
        </w:rPr>
        <w:t xml:space="preserve">Comisión </w:t>
      </w:r>
      <w:r w:rsidR="00BD199F">
        <w:rPr>
          <w:rFonts w:asciiTheme="majorHAnsi" w:hAnsiTheme="majorHAnsi"/>
          <w:sz w:val="24"/>
          <w:szCs w:val="24"/>
          <w:lang w:val="es-MX"/>
        </w:rPr>
        <w:t xml:space="preserve">de </w:t>
      </w:r>
      <w:r>
        <w:rPr>
          <w:rFonts w:asciiTheme="majorHAnsi" w:hAnsiTheme="majorHAnsi"/>
          <w:sz w:val="24"/>
          <w:szCs w:val="24"/>
          <w:lang w:val="es-MX"/>
        </w:rPr>
        <w:t xml:space="preserve">Rendición </w:t>
      </w:r>
      <w:r w:rsidR="00BD199F">
        <w:rPr>
          <w:rFonts w:asciiTheme="majorHAnsi" w:hAnsiTheme="majorHAnsi"/>
          <w:sz w:val="24"/>
          <w:szCs w:val="24"/>
          <w:lang w:val="es-MX"/>
        </w:rPr>
        <w:t xml:space="preserve">de </w:t>
      </w:r>
      <w:r>
        <w:rPr>
          <w:rFonts w:asciiTheme="majorHAnsi" w:hAnsiTheme="majorHAnsi"/>
          <w:sz w:val="24"/>
          <w:szCs w:val="24"/>
          <w:lang w:val="es-MX"/>
        </w:rPr>
        <w:t xml:space="preserve">Cuentas </w:t>
      </w:r>
      <w:r w:rsidR="00E71349">
        <w:rPr>
          <w:rFonts w:asciiTheme="majorHAnsi" w:hAnsiTheme="majorHAnsi"/>
          <w:sz w:val="24"/>
          <w:szCs w:val="24"/>
          <w:lang w:val="es-MX"/>
        </w:rPr>
        <w:t>del Gobierno Parroquial</w:t>
      </w:r>
      <w:r w:rsidR="00BD199F">
        <w:rPr>
          <w:rFonts w:asciiTheme="majorHAnsi" w:hAnsiTheme="majorHAnsi"/>
          <w:sz w:val="24"/>
          <w:szCs w:val="24"/>
          <w:lang w:val="es-MX"/>
        </w:rPr>
        <w:t xml:space="preserve">, </w:t>
      </w:r>
      <w:r>
        <w:rPr>
          <w:rFonts w:asciiTheme="majorHAnsi" w:hAnsiTheme="majorHAnsi"/>
          <w:sz w:val="24"/>
          <w:szCs w:val="24"/>
          <w:lang w:val="es-MX"/>
        </w:rPr>
        <w:t xml:space="preserve">misma que está </w:t>
      </w:r>
      <w:r w:rsidR="00BD199F">
        <w:rPr>
          <w:rFonts w:asciiTheme="majorHAnsi" w:hAnsiTheme="majorHAnsi"/>
          <w:sz w:val="24"/>
          <w:szCs w:val="24"/>
          <w:lang w:val="es-MX"/>
        </w:rPr>
        <w:t xml:space="preserve">integrado por la Ing. Mónica Borja, Arq. Alex Quimbita y la Ing. Miryan </w:t>
      </w:r>
      <w:r w:rsidR="00E71349">
        <w:rPr>
          <w:rFonts w:asciiTheme="majorHAnsi" w:hAnsiTheme="majorHAnsi"/>
          <w:sz w:val="24"/>
          <w:szCs w:val="24"/>
          <w:lang w:val="es-MX"/>
        </w:rPr>
        <w:t>Álvarez</w:t>
      </w:r>
      <w:r w:rsidR="00511A30">
        <w:rPr>
          <w:rFonts w:asciiTheme="majorHAnsi" w:hAnsiTheme="majorHAnsi"/>
          <w:sz w:val="24"/>
          <w:szCs w:val="24"/>
          <w:lang w:val="es-MX"/>
        </w:rPr>
        <w:t xml:space="preserve">, dentro de todo este proceso conlleva realizar diferentes Fases, hasta finalizar con la </w:t>
      </w:r>
      <w:r w:rsidR="00E71349">
        <w:rPr>
          <w:rFonts w:asciiTheme="majorHAnsi" w:hAnsiTheme="majorHAnsi"/>
          <w:sz w:val="24"/>
          <w:szCs w:val="24"/>
          <w:lang w:val="es-MX"/>
        </w:rPr>
        <w:t>ELABORACIÓN DEL INFORME DE RENDICIÓN DE CUENTAS:</w:t>
      </w:r>
    </w:p>
    <w:p w:rsidR="00605611" w:rsidRDefault="00511A30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Dentro de nuestra institución para la</w:t>
      </w:r>
      <w:r w:rsidR="00E71349">
        <w:rPr>
          <w:rFonts w:asciiTheme="majorHAnsi" w:hAnsiTheme="majorHAnsi"/>
          <w:sz w:val="24"/>
          <w:szCs w:val="24"/>
          <w:lang w:val="es-MX"/>
        </w:rPr>
        <w:t xml:space="preserve"> facilitación del Proceso, no se conforma el Consejo de Participación </w:t>
      </w:r>
      <w:r w:rsidR="00605611">
        <w:rPr>
          <w:rFonts w:asciiTheme="majorHAnsi" w:hAnsiTheme="majorHAnsi"/>
          <w:sz w:val="24"/>
          <w:szCs w:val="24"/>
          <w:lang w:val="es-MX"/>
        </w:rPr>
        <w:t xml:space="preserve">Ciudadana </w:t>
      </w:r>
      <w:r w:rsidR="00E71349">
        <w:rPr>
          <w:rFonts w:asciiTheme="majorHAnsi" w:hAnsiTheme="majorHAnsi"/>
          <w:sz w:val="24"/>
          <w:szCs w:val="24"/>
          <w:lang w:val="es-MX"/>
        </w:rPr>
        <w:t xml:space="preserve">de la Parroquia, y </w:t>
      </w:r>
      <w:r w:rsidR="00605611">
        <w:rPr>
          <w:rFonts w:asciiTheme="majorHAnsi" w:hAnsiTheme="majorHAnsi"/>
          <w:sz w:val="24"/>
          <w:szCs w:val="24"/>
          <w:lang w:val="es-MX"/>
        </w:rPr>
        <w:t xml:space="preserve">se trabaja directamente con </w:t>
      </w:r>
      <w:r w:rsidR="00E71349">
        <w:rPr>
          <w:rFonts w:asciiTheme="majorHAnsi" w:hAnsiTheme="majorHAnsi"/>
          <w:sz w:val="24"/>
          <w:szCs w:val="24"/>
          <w:lang w:val="es-MX"/>
        </w:rPr>
        <w:t xml:space="preserve"> el Consejo de Planificación y Transp</w:t>
      </w:r>
      <w:r w:rsidR="00605611">
        <w:rPr>
          <w:rFonts w:asciiTheme="majorHAnsi" w:hAnsiTheme="majorHAnsi"/>
          <w:sz w:val="24"/>
          <w:szCs w:val="24"/>
          <w:lang w:val="es-MX"/>
        </w:rPr>
        <w:t>arencia de la Parroquia Aláquez, que está conformado por todos ustedes.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4.- CUARTO.- Intervención de los asistentes.</w:t>
      </w:r>
    </w:p>
    <w:p w:rsidR="00517E5E" w:rsidRDefault="00384694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el Sr. </w:t>
      </w:r>
      <w:r w:rsidR="00D5565E">
        <w:rPr>
          <w:rFonts w:asciiTheme="majorHAnsi" w:hAnsiTheme="majorHAnsi"/>
          <w:sz w:val="24"/>
          <w:szCs w:val="24"/>
          <w:lang w:val="es-MX"/>
        </w:rPr>
        <w:t xml:space="preserve">Benjamín </w:t>
      </w:r>
      <w:r>
        <w:rPr>
          <w:rFonts w:asciiTheme="majorHAnsi" w:hAnsiTheme="majorHAnsi"/>
          <w:sz w:val="24"/>
          <w:szCs w:val="24"/>
          <w:lang w:val="es-MX"/>
        </w:rPr>
        <w:t>Pucuji, Presidente del GAD Parroquial y menc</w:t>
      </w:r>
      <w:r w:rsidR="00D5565E">
        <w:rPr>
          <w:rFonts w:asciiTheme="majorHAnsi" w:hAnsiTheme="majorHAnsi"/>
          <w:sz w:val="24"/>
          <w:szCs w:val="24"/>
          <w:lang w:val="es-MX"/>
        </w:rPr>
        <w:t>iona que se procederá a</w:t>
      </w:r>
      <w:r w:rsidR="007C0C2A">
        <w:rPr>
          <w:rFonts w:asciiTheme="majorHAnsi" w:hAnsiTheme="majorHAnsi"/>
          <w:sz w:val="24"/>
          <w:szCs w:val="24"/>
          <w:lang w:val="es-MX"/>
        </w:rPr>
        <w:t xml:space="preserve"> la</w:t>
      </w:r>
      <w:r w:rsidR="00D5565E">
        <w:rPr>
          <w:rFonts w:asciiTheme="majorHAnsi" w:hAnsiTheme="majorHAnsi"/>
          <w:sz w:val="24"/>
          <w:szCs w:val="24"/>
          <w:lang w:val="es-MX"/>
        </w:rPr>
        <w:t xml:space="preserve"> entrega</w:t>
      </w:r>
      <w:r>
        <w:rPr>
          <w:rFonts w:asciiTheme="majorHAnsi" w:hAnsiTheme="majorHAnsi"/>
          <w:sz w:val="24"/>
          <w:szCs w:val="24"/>
          <w:lang w:val="es-MX"/>
        </w:rPr>
        <w:t xml:space="preserve"> a la Comisión de Planificación de la Parroquia: el plan de Desarrollo y Ordenamiento Territorial “PDyOT 2023-2027”,  oferta de campaña presentada ante el CNE, el Presupuesto y el Plan Anual de Contratación del GAD Parroquial de Aláquez, y toda la documentación correspondiente a los gastos efectuados  por la I</w:t>
      </w:r>
      <w:r w:rsidR="00C91C6B">
        <w:rPr>
          <w:rFonts w:asciiTheme="majorHAnsi" w:hAnsiTheme="majorHAnsi"/>
          <w:sz w:val="24"/>
          <w:szCs w:val="24"/>
          <w:lang w:val="es-MX"/>
        </w:rPr>
        <w:t>nstitución en el año fiscal 2025</w:t>
      </w:r>
      <w:r>
        <w:rPr>
          <w:rFonts w:asciiTheme="majorHAnsi" w:hAnsiTheme="majorHAnsi"/>
          <w:sz w:val="24"/>
          <w:szCs w:val="24"/>
          <w:lang w:val="es-MX"/>
        </w:rPr>
        <w:t>;</w:t>
      </w:r>
      <w:r w:rsidR="00D5565E">
        <w:rPr>
          <w:rFonts w:asciiTheme="majorHAnsi" w:hAnsiTheme="majorHAnsi"/>
          <w:sz w:val="24"/>
          <w:szCs w:val="24"/>
          <w:lang w:val="es-MX"/>
        </w:rPr>
        <w:t xml:space="preserve"> ustedes como Comisión de Planificación deben consultar a la ciudadanía de que tema quieren que el GAD rinda cuentas; </w:t>
      </w:r>
      <w:r>
        <w:rPr>
          <w:rFonts w:asciiTheme="majorHAnsi" w:hAnsiTheme="majorHAnsi"/>
          <w:sz w:val="24"/>
          <w:szCs w:val="24"/>
          <w:lang w:val="es-MX"/>
        </w:rPr>
        <w:t xml:space="preserve"> además se indica a la Comisión de Planificación debe</w:t>
      </w:r>
      <w:r w:rsidR="00517E5E">
        <w:rPr>
          <w:rFonts w:asciiTheme="majorHAnsi" w:hAnsiTheme="majorHAnsi"/>
          <w:sz w:val="24"/>
          <w:szCs w:val="24"/>
          <w:lang w:val="es-MX"/>
        </w:rPr>
        <w:t>rá</w:t>
      </w:r>
      <w:r>
        <w:rPr>
          <w:rFonts w:asciiTheme="majorHAnsi" w:hAnsiTheme="majorHAnsi"/>
          <w:sz w:val="24"/>
          <w:szCs w:val="24"/>
          <w:lang w:val="es-MX"/>
        </w:rPr>
        <w:t xml:space="preserve"> realizar el análisis de </w:t>
      </w:r>
      <w:r w:rsidR="00517E5E">
        <w:rPr>
          <w:rFonts w:asciiTheme="majorHAnsi" w:hAnsiTheme="majorHAnsi"/>
          <w:sz w:val="24"/>
          <w:szCs w:val="24"/>
          <w:lang w:val="es-MX"/>
        </w:rPr>
        <w:t>la documentación y entregarán al GAD Parroquial los documentos que son necesarios para continuar con el proceso de Rendición de Cuentas 202</w:t>
      </w:r>
      <w:r w:rsidR="00C91C6B">
        <w:rPr>
          <w:rFonts w:asciiTheme="majorHAnsi" w:hAnsiTheme="majorHAnsi"/>
          <w:sz w:val="24"/>
          <w:szCs w:val="24"/>
          <w:lang w:val="es-MX"/>
        </w:rPr>
        <w:t>5</w:t>
      </w:r>
      <w:r w:rsidR="00517E5E">
        <w:rPr>
          <w:rFonts w:asciiTheme="majorHAnsi" w:hAnsiTheme="majorHAnsi"/>
          <w:sz w:val="24"/>
          <w:szCs w:val="24"/>
          <w:lang w:val="es-MX"/>
        </w:rPr>
        <w:t>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la Ing. Mónica Borja </w:t>
      </w:r>
      <w:r w:rsidR="004F692B">
        <w:rPr>
          <w:rFonts w:asciiTheme="majorHAnsi" w:hAnsiTheme="majorHAnsi"/>
          <w:sz w:val="24"/>
          <w:szCs w:val="24"/>
          <w:lang w:val="es-MX"/>
        </w:rPr>
        <w:t xml:space="preserve">Secretaria </w:t>
      </w:r>
      <w:r>
        <w:rPr>
          <w:rFonts w:asciiTheme="majorHAnsi" w:hAnsiTheme="majorHAnsi"/>
          <w:sz w:val="24"/>
          <w:szCs w:val="24"/>
          <w:lang w:val="es-MX"/>
        </w:rPr>
        <w:t xml:space="preserve">Tesorera del GAD Parroquial, mencionando que se debe rendir cuentas de </w:t>
      </w:r>
      <w:r w:rsidR="00482115">
        <w:rPr>
          <w:rFonts w:asciiTheme="majorHAnsi" w:hAnsiTheme="majorHAnsi"/>
          <w:sz w:val="24"/>
          <w:szCs w:val="24"/>
          <w:lang w:val="es-MX"/>
        </w:rPr>
        <w:t xml:space="preserve">los gastos </w:t>
      </w:r>
      <w:r>
        <w:rPr>
          <w:rFonts w:asciiTheme="majorHAnsi" w:hAnsiTheme="majorHAnsi"/>
          <w:sz w:val="24"/>
          <w:szCs w:val="24"/>
          <w:lang w:val="es-MX"/>
        </w:rPr>
        <w:t>de inversión</w:t>
      </w:r>
      <w:r w:rsidR="00482115">
        <w:rPr>
          <w:rFonts w:asciiTheme="majorHAnsi" w:hAnsiTheme="majorHAnsi"/>
          <w:sz w:val="24"/>
          <w:szCs w:val="24"/>
          <w:lang w:val="es-MX"/>
        </w:rPr>
        <w:t xml:space="preserve"> del año 202</w:t>
      </w:r>
      <w:r w:rsidR="00C91C6B">
        <w:rPr>
          <w:rFonts w:asciiTheme="majorHAnsi" w:hAnsiTheme="majorHAnsi"/>
          <w:sz w:val="24"/>
          <w:szCs w:val="24"/>
          <w:lang w:val="es-MX"/>
        </w:rPr>
        <w:t>5</w:t>
      </w:r>
      <w:r>
        <w:rPr>
          <w:rFonts w:asciiTheme="majorHAnsi" w:hAnsiTheme="majorHAnsi"/>
          <w:sz w:val="24"/>
          <w:szCs w:val="24"/>
          <w:lang w:val="es-MX"/>
        </w:rPr>
        <w:t>, o a su vez la Comisión solicite lo que se desea que el GAD rinda cuentas;</w:t>
      </w:r>
      <w:r w:rsidR="00482115">
        <w:rPr>
          <w:rFonts w:asciiTheme="majorHAnsi" w:hAnsiTheme="majorHAnsi"/>
          <w:sz w:val="24"/>
          <w:szCs w:val="24"/>
          <w:lang w:val="es-MX"/>
        </w:rPr>
        <w:t xml:space="preserve"> así también debo dar a conocer que </w:t>
      </w:r>
      <w:r>
        <w:rPr>
          <w:rFonts w:asciiTheme="majorHAnsi" w:hAnsiTheme="majorHAnsi"/>
          <w:sz w:val="24"/>
          <w:szCs w:val="24"/>
          <w:lang w:val="es-MX"/>
        </w:rPr>
        <w:t xml:space="preserve">de acuerdo a la planificación de este proceso de rendición de </w:t>
      </w:r>
      <w:r>
        <w:rPr>
          <w:rFonts w:asciiTheme="majorHAnsi" w:hAnsiTheme="majorHAnsi"/>
          <w:sz w:val="24"/>
          <w:szCs w:val="24"/>
          <w:lang w:val="es-MX"/>
        </w:rPr>
        <w:lastRenderedPageBreak/>
        <w:t xml:space="preserve">cuentas se lo deberá realizar en 4 fases, es por esta razón que se debe fijar una fecha para dar cumplimiento a todo este proceso, que conforma el informe preliminar para su respectivo análisis y posteriormente en el mes de </w:t>
      </w:r>
      <w:r w:rsidR="00C91C6B">
        <w:rPr>
          <w:rFonts w:asciiTheme="majorHAnsi" w:hAnsiTheme="majorHAnsi"/>
          <w:sz w:val="24"/>
          <w:szCs w:val="24"/>
          <w:lang w:val="es-MX"/>
        </w:rPr>
        <w:t>mayo</w:t>
      </w:r>
      <w:r>
        <w:rPr>
          <w:rFonts w:asciiTheme="majorHAnsi" w:hAnsiTheme="majorHAnsi"/>
          <w:sz w:val="24"/>
          <w:szCs w:val="24"/>
          <w:lang w:val="es-MX"/>
        </w:rPr>
        <w:t xml:space="preserve"> realizar la deliberación pública de rendición de cuentas del período fiscal 202</w:t>
      </w:r>
      <w:r w:rsidR="00C91C6B">
        <w:rPr>
          <w:rFonts w:asciiTheme="majorHAnsi" w:hAnsiTheme="majorHAnsi"/>
          <w:sz w:val="24"/>
          <w:szCs w:val="24"/>
          <w:lang w:val="es-MX"/>
        </w:rPr>
        <w:t>5</w:t>
      </w:r>
      <w:r>
        <w:rPr>
          <w:rFonts w:asciiTheme="majorHAnsi" w:hAnsiTheme="majorHAnsi"/>
          <w:sz w:val="24"/>
          <w:szCs w:val="24"/>
          <w:lang w:val="es-MX"/>
        </w:rPr>
        <w:t>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el </w:t>
      </w:r>
      <w:r w:rsidR="00997B5B">
        <w:rPr>
          <w:rFonts w:asciiTheme="majorHAnsi" w:hAnsiTheme="majorHAnsi"/>
          <w:sz w:val="24"/>
          <w:szCs w:val="24"/>
          <w:lang w:val="es-MX"/>
        </w:rPr>
        <w:t>Dr. Jorge Pacheco</w:t>
      </w:r>
      <w:r>
        <w:rPr>
          <w:rFonts w:asciiTheme="majorHAnsi" w:hAnsiTheme="majorHAnsi"/>
          <w:sz w:val="24"/>
          <w:szCs w:val="24"/>
          <w:lang w:val="es-MX"/>
        </w:rPr>
        <w:t xml:space="preserve"> y </w:t>
      </w:r>
      <w:r w:rsidR="00393758">
        <w:rPr>
          <w:rFonts w:asciiTheme="majorHAnsi" w:hAnsiTheme="majorHAnsi"/>
          <w:sz w:val="24"/>
          <w:szCs w:val="24"/>
          <w:lang w:val="es-MX"/>
        </w:rPr>
        <w:t>mociona</w:t>
      </w:r>
      <w:r>
        <w:rPr>
          <w:rFonts w:asciiTheme="majorHAnsi" w:hAnsiTheme="majorHAnsi"/>
          <w:sz w:val="24"/>
          <w:szCs w:val="24"/>
          <w:lang w:val="es-MX"/>
        </w:rPr>
        <w:t xml:space="preserve"> que el GAD Parroquial </w:t>
      </w:r>
      <w:r w:rsidR="00997B5B">
        <w:rPr>
          <w:rFonts w:asciiTheme="majorHAnsi" w:hAnsiTheme="majorHAnsi"/>
          <w:sz w:val="24"/>
          <w:szCs w:val="24"/>
          <w:lang w:val="es-MX"/>
        </w:rPr>
        <w:t xml:space="preserve">rinda cuentas de </w:t>
      </w:r>
      <w:r>
        <w:rPr>
          <w:rFonts w:asciiTheme="majorHAnsi" w:hAnsiTheme="majorHAnsi"/>
          <w:sz w:val="24"/>
          <w:szCs w:val="24"/>
          <w:lang w:val="es-MX"/>
        </w:rPr>
        <w:t xml:space="preserve"> todos y cada uno de los gasto</w:t>
      </w:r>
      <w:r w:rsidR="00393758">
        <w:rPr>
          <w:rFonts w:asciiTheme="majorHAnsi" w:hAnsiTheme="majorHAnsi"/>
          <w:sz w:val="24"/>
          <w:szCs w:val="24"/>
          <w:lang w:val="es-MX"/>
        </w:rPr>
        <w:t>s</w:t>
      </w:r>
      <w:r w:rsidR="00521DE1">
        <w:rPr>
          <w:rFonts w:asciiTheme="majorHAnsi" w:hAnsiTheme="majorHAnsi"/>
          <w:sz w:val="24"/>
          <w:szCs w:val="24"/>
          <w:lang w:val="es-MX"/>
        </w:rPr>
        <w:t xml:space="preserve"> efectuados en la Instituci</w:t>
      </w:r>
      <w:r w:rsidR="00997B5B">
        <w:rPr>
          <w:rFonts w:asciiTheme="majorHAnsi" w:hAnsiTheme="majorHAnsi"/>
          <w:sz w:val="24"/>
          <w:szCs w:val="24"/>
          <w:lang w:val="es-MX"/>
        </w:rPr>
        <w:t xml:space="preserve">ón así como se </w:t>
      </w:r>
      <w:r w:rsidR="00393758">
        <w:rPr>
          <w:rFonts w:asciiTheme="majorHAnsi" w:hAnsiTheme="majorHAnsi"/>
          <w:sz w:val="24"/>
          <w:szCs w:val="24"/>
          <w:lang w:val="es-MX"/>
        </w:rPr>
        <w:t>lo realiza cada año, dicha moción es apoyada por todos quienes conforman la Comisión de Planificación de la Parroquia.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5.- QUINTO.- Resoluciones</w:t>
      </w:r>
    </w:p>
    <w:p w:rsidR="00A86E89" w:rsidRDefault="00A86E89" w:rsidP="00A86E89">
      <w:pPr>
        <w:pStyle w:val="Prrafodelista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BA0DA4">
        <w:rPr>
          <w:rFonts w:asciiTheme="majorHAnsi" w:hAnsiTheme="majorHAnsi"/>
          <w:sz w:val="24"/>
          <w:szCs w:val="24"/>
          <w:lang w:val="es-MX"/>
        </w:rPr>
        <w:t xml:space="preserve">Después de realizada el análisis, por unanimidad se resuelve realizar la reunión para la  segunda fase de rendición de cuentas el día  jueves </w:t>
      </w:r>
      <w:r w:rsidR="00737AF9">
        <w:rPr>
          <w:rFonts w:asciiTheme="majorHAnsi" w:hAnsiTheme="majorHAnsi"/>
          <w:sz w:val="24"/>
          <w:szCs w:val="24"/>
          <w:lang w:val="es-MX"/>
        </w:rPr>
        <w:t>09 de abril de 2026, a las 15h00.</w:t>
      </w:r>
    </w:p>
    <w:p w:rsidR="00A86E89" w:rsidRDefault="00A86E89" w:rsidP="00A86E89">
      <w:pPr>
        <w:pStyle w:val="Prrafodelista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A02CEF">
        <w:rPr>
          <w:rFonts w:asciiTheme="majorHAnsi" w:hAnsiTheme="majorHAnsi"/>
          <w:sz w:val="24"/>
          <w:szCs w:val="24"/>
          <w:lang w:val="es-MX"/>
        </w:rPr>
        <w:t>Se rendirá cuentas de todo lo que correspond</w:t>
      </w:r>
      <w:r w:rsidR="00B1676C">
        <w:rPr>
          <w:rFonts w:asciiTheme="majorHAnsi" w:hAnsiTheme="majorHAnsi"/>
          <w:sz w:val="24"/>
          <w:szCs w:val="24"/>
          <w:lang w:val="es-MX"/>
        </w:rPr>
        <w:t>e al Presupuesto</w:t>
      </w:r>
      <w:r w:rsidR="00141CAA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B1676C">
        <w:rPr>
          <w:rFonts w:asciiTheme="majorHAnsi" w:hAnsiTheme="majorHAnsi"/>
          <w:sz w:val="24"/>
          <w:szCs w:val="24"/>
          <w:lang w:val="es-MX"/>
        </w:rPr>
        <w:t>202</w:t>
      </w:r>
      <w:r w:rsidR="00511A30">
        <w:rPr>
          <w:rFonts w:asciiTheme="majorHAnsi" w:hAnsiTheme="majorHAnsi"/>
          <w:sz w:val="24"/>
          <w:szCs w:val="24"/>
          <w:lang w:val="es-MX"/>
        </w:rPr>
        <w:t>5</w:t>
      </w:r>
      <w:r w:rsidR="00B1676C">
        <w:rPr>
          <w:rFonts w:asciiTheme="majorHAnsi" w:hAnsiTheme="majorHAnsi"/>
          <w:sz w:val="24"/>
          <w:szCs w:val="24"/>
          <w:lang w:val="es-MX"/>
        </w:rPr>
        <w:t>, para ello</w:t>
      </w:r>
      <w:r w:rsidRPr="00A02CEF">
        <w:rPr>
          <w:rFonts w:asciiTheme="majorHAnsi" w:hAnsiTheme="majorHAnsi"/>
          <w:sz w:val="24"/>
          <w:szCs w:val="24"/>
          <w:lang w:val="es-MX"/>
        </w:rPr>
        <w:t xml:space="preserve"> se dotará </w:t>
      </w:r>
      <w:r w:rsidR="00B1676C">
        <w:rPr>
          <w:rFonts w:asciiTheme="majorHAnsi" w:hAnsiTheme="majorHAnsi"/>
          <w:sz w:val="24"/>
          <w:szCs w:val="24"/>
          <w:lang w:val="es-MX"/>
        </w:rPr>
        <w:t>de los</w:t>
      </w:r>
      <w:r w:rsidRPr="00A02CEF">
        <w:rPr>
          <w:rFonts w:asciiTheme="majorHAnsi" w:hAnsiTheme="majorHAnsi"/>
          <w:sz w:val="24"/>
          <w:szCs w:val="24"/>
          <w:lang w:val="es-MX"/>
        </w:rPr>
        <w:t xml:space="preserve"> documentos correspondientes </w:t>
      </w:r>
      <w:r w:rsidR="00B1676C">
        <w:rPr>
          <w:rFonts w:asciiTheme="majorHAnsi" w:hAnsiTheme="majorHAnsi"/>
          <w:sz w:val="24"/>
          <w:szCs w:val="24"/>
          <w:lang w:val="es-MX"/>
        </w:rPr>
        <w:t>y necesarios para su respectivo análisis.</w:t>
      </w:r>
    </w:p>
    <w:p w:rsidR="00C91C6B" w:rsidRPr="00C035E4" w:rsidRDefault="00C91C6B" w:rsidP="00A86E89">
      <w:pPr>
        <w:pStyle w:val="Prrafodelista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C035E4">
        <w:rPr>
          <w:rFonts w:asciiTheme="majorHAnsi" w:hAnsiTheme="majorHAnsi"/>
          <w:sz w:val="24"/>
          <w:szCs w:val="24"/>
          <w:lang w:val="es-MX"/>
        </w:rPr>
        <w:t xml:space="preserve">La deliberación Pública se efectuará el día </w:t>
      </w:r>
      <w:r w:rsidR="00C035E4" w:rsidRPr="00C035E4">
        <w:rPr>
          <w:rFonts w:asciiTheme="majorHAnsi" w:hAnsiTheme="majorHAnsi"/>
          <w:sz w:val="24"/>
          <w:szCs w:val="24"/>
          <w:lang w:val="es-MX"/>
        </w:rPr>
        <w:t>viernes</w:t>
      </w:r>
      <w:r w:rsidRPr="00C035E4">
        <w:rPr>
          <w:rFonts w:asciiTheme="majorHAnsi" w:hAnsiTheme="majorHAnsi"/>
          <w:sz w:val="24"/>
          <w:szCs w:val="24"/>
          <w:lang w:val="es-MX"/>
        </w:rPr>
        <w:t>, 22 de mayo de 2026 a las 15:00 pm en el Segundo Piso de la Tenencia Política de la Parroquia.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6.- SEXTO.- Clausura.-</w:t>
      </w:r>
    </w:p>
    <w:p w:rsidR="00A86E89" w:rsidRDefault="00A86E89" w:rsidP="00A86E89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Siendo las </w:t>
      </w:r>
      <w:r w:rsidR="00C91C6B">
        <w:rPr>
          <w:rFonts w:asciiTheme="majorHAnsi" w:hAnsiTheme="majorHAnsi"/>
          <w:sz w:val="24"/>
          <w:szCs w:val="24"/>
          <w:lang w:val="es-MX"/>
        </w:rPr>
        <w:t>16:19</w:t>
      </w:r>
      <w:r>
        <w:rPr>
          <w:rFonts w:asciiTheme="majorHAnsi" w:hAnsiTheme="majorHAnsi"/>
          <w:sz w:val="24"/>
          <w:szCs w:val="24"/>
          <w:lang w:val="es-MX"/>
        </w:rPr>
        <w:t xml:space="preserve"> pm, se da por terminada la sesión; para constancia de lo actuado y legalidad del presente documento, firmamos:</w:t>
      </w:r>
    </w:p>
    <w:p w:rsidR="00A86E89" w:rsidRDefault="00A86E89" w:rsidP="00A86E89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A86E89" w:rsidRDefault="00A86E89" w:rsidP="00A86E89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A86E89" w:rsidRPr="00C035E4" w:rsidRDefault="00A86E89" w:rsidP="00A86E89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86E89" w:rsidRPr="00C035E4" w:rsidRDefault="005C4B23" w:rsidP="00A86E89">
      <w:pPr>
        <w:tabs>
          <w:tab w:val="left" w:pos="5670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35E4">
        <w:rPr>
          <w:rFonts w:asciiTheme="majorHAnsi" w:hAnsiTheme="majorHAnsi" w:cs="Times New Roman"/>
          <w:sz w:val="24"/>
          <w:szCs w:val="24"/>
        </w:rPr>
        <w:t xml:space="preserve">         Sr. Benjamín Pucuji</w:t>
      </w:r>
      <w:r w:rsidRPr="00C035E4">
        <w:rPr>
          <w:rFonts w:asciiTheme="majorHAnsi" w:hAnsiTheme="majorHAnsi" w:cs="Times New Roman"/>
          <w:sz w:val="24"/>
          <w:szCs w:val="24"/>
        </w:rPr>
        <w:tab/>
        <w:t>Ing. Lourdes Amón</w:t>
      </w:r>
      <w:r w:rsidR="00A86E89" w:rsidRPr="00C035E4">
        <w:rPr>
          <w:rFonts w:asciiTheme="majorHAnsi" w:hAnsiTheme="majorHAnsi" w:cs="Times New Roman"/>
          <w:sz w:val="24"/>
          <w:szCs w:val="24"/>
        </w:rPr>
        <w:tab/>
      </w:r>
    </w:p>
    <w:p w:rsidR="00A86E89" w:rsidRPr="00C035E4" w:rsidRDefault="00A86E89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 xml:space="preserve">PRESIDENTE DEL GADPR ALÁQUEZ </w:t>
      </w:r>
      <w:r w:rsidRPr="00C035E4">
        <w:rPr>
          <w:rFonts w:asciiTheme="majorHAnsi" w:hAnsiTheme="majorHAnsi" w:cs="Times New Roman"/>
          <w:b/>
          <w:sz w:val="20"/>
          <w:szCs w:val="20"/>
        </w:rPr>
        <w:tab/>
      </w:r>
      <w:r w:rsidRPr="00C035E4">
        <w:rPr>
          <w:rFonts w:asciiTheme="majorHAnsi" w:hAnsiTheme="majorHAnsi" w:cs="Times New Roman"/>
          <w:b/>
          <w:sz w:val="20"/>
          <w:szCs w:val="20"/>
        </w:rPr>
        <w:tab/>
      </w:r>
      <w:r w:rsidR="005C4B23" w:rsidRPr="00C035E4">
        <w:rPr>
          <w:rFonts w:asciiTheme="majorHAnsi" w:hAnsiTheme="majorHAnsi" w:cs="Times New Roman"/>
          <w:b/>
          <w:sz w:val="20"/>
          <w:szCs w:val="20"/>
        </w:rPr>
        <w:t>VOCAL GAD PARROQUIAL DE ALÁQUEZ</w:t>
      </w:r>
      <w:r w:rsidRPr="00C035E4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A86E89" w:rsidRPr="00C035E4" w:rsidRDefault="00A86E89" w:rsidP="00A86E89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ab/>
      </w:r>
    </w:p>
    <w:p w:rsidR="00A86E89" w:rsidRPr="00C035E4" w:rsidRDefault="00A86E89" w:rsidP="00A86E89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A86E89" w:rsidRPr="00C035E4" w:rsidRDefault="00A86E89" w:rsidP="00A86E89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A86E89" w:rsidRPr="00C035E4" w:rsidRDefault="00A86E89" w:rsidP="00A86E89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A86E89" w:rsidRPr="00C035E4" w:rsidRDefault="00A86E89" w:rsidP="00A86E89">
      <w:pPr>
        <w:tabs>
          <w:tab w:val="left" w:pos="5670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35E4">
        <w:rPr>
          <w:rFonts w:asciiTheme="majorHAnsi" w:hAnsiTheme="majorHAnsi" w:cs="Times New Roman"/>
          <w:sz w:val="24"/>
          <w:szCs w:val="24"/>
        </w:rPr>
        <w:t>Arq. Alex Quimbita</w:t>
      </w:r>
      <w:r w:rsidR="005C4B23" w:rsidRPr="00C035E4">
        <w:rPr>
          <w:rFonts w:asciiTheme="majorHAnsi" w:hAnsiTheme="majorHAnsi" w:cs="Times New Roman"/>
          <w:sz w:val="24"/>
          <w:szCs w:val="24"/>
        </w:rPr>
        <w:tab/>
      </w:r>
      <w:r w:rsidRPr="00C035E4">
        <w:rPr>
          <w:rFonts w:asciiTheme="majorHAnsi" w:hAnsiTheme="majorHAnsi" w:cs="Times New Roman"/>
          <w:sz w:val="24"/>
          <w:szCs w:val="24"/>
        </w:rPr>
        <w:t>Sr. Marcelo Molina</w:t>
      </w: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>VO</w:t>
      </w:r>
      <w:r w:rsidR="00392F9A">
        <w:rPr>
          <w:rFonts w:asciiTheme="majorHAnsi" w:hAnsiTheme="majorHAnsi" w:cs="Times New Roman"/>
          <w:b/>
          <w:sz w:val="20"/>
          <w:szCs w:val="20"/>
        </w:rPr>
        <w:t xml:space="preserve">CAL GAD PARROQUIAL DE ALÁQUEZ </w:t>
      </w:r>
      <w:r w:rsidR="00392F9A">
        <w:rPr>
          <w:rFonts w:asciiTheme="majorHAnsi" w:hAnsiTheme="majorHAnsi" w:cs="Times New Roman"/>
          <w:b/>
          <w:sz w:val="20"/>
          <w:szCs w:val="20"/>
        </w:rPr>
        <w:tab/>
      </w:r>
      <w:r w:rsidRPr="00C035E4">
        <w:rPr>
          <w:rFonts w:asciiTheme="majorHAnsi" w:hAnsiTheme="majorHAnsi" w:cs="Times New Roman"/>
          <w:b/>
          <w:sz w:val="20"/>
          <w:szCs w:val="20"/>
        </w:rPr>
        <w:t xml:space="preserve">VOCAL GAD PARROQUIAL DE ALÁQUEZ </w:t>
      </w: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ab/>
      </w: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ab/>
      </w:r>
    </w:p>
    <w:p w:rsidR="00A86E89" w:rsidRDefault="00A86E89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0"/>
          <w:szCs w:val="20"/>
        </w:rPr>
      </w:pPr>
    </w:p>
    <w:p w:rsidR="00392F9A" w:rsidRDefault="00392F9A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0"/>
          <w:szCs w:val="20"/>
        </w:rPr>
      </w:pPr>
    </w:p>
    <w:p w:rsidR="00392F9A" w:rsidRDefault="00392F9A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0"/>
          <w:szCs w:val="20"/>
        </w:rPr>
      </w:pPr>
    </w:p>
    <w:p w:rsidR="00392F9A" w:rsidRDefault="00392F9A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0"/>
          <w:szCs w:val="20"/>
        </w:rPr>
      </w:pPr>
    </w:p>
    <w:p w:rsidR="00392F9A" w:rsidRPr="00C035E4" w:rsidRDefault="00392F9A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0"/>
          <w:szCs w:val="20"/>
        </w:rPr>
      </w:pPr>
    </w:p>
    <w:p w:rsidR="00A86E89" w:rsidRPr="00C035E4" w:rsidRDefault="00A86E89" w:rsidP="00A86E89">
      <w:pPr>
        <w:tabs>
          <w:tab w:val="left" w:pos="5070"/>
        </w:tabs>
        <w:spacing w:after="0"/>
        <w:ind w:left="4956" w:hanging="4956"/>
        <w:jc w:val="both"/>
        <w:rPr>
          <w:rFonts w:asciiTheme="majorHAnsi" w:hAnsiTheme="majorHAnsi" w:cs="Times New Roman"/>
          <w:sz w:val="24"/>
          <w:szCs w:val="24"/>
        </w:rPr>
      </w:pPr>
      <w:r w:rsidRPr="00C035E4">
        <w:rPr>
          <w:rFonts w:asciiTheme="majorHAnsi" w:hAnsiTheme="majorHAnsi" w:cs="Times New Roman"/>
          <w:sz w:val="24"/>
          <w:szCs w:val="24"/>
        </w:rPr>
        <w:tab/>
      </w:r>
    </w:p>
    <w:p w:rsidR="005C4B23" w:rsidRPr="00C035E4" w:rsidRDefault="005C4B23" w:rsidP="005C4B23">
      <w:pPr>
        <w:tabs>
          <w:tab w:val="left" w:pos="5670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35E4">
        <w:rPr>
          <w:rFonts w:asciiTheme="majorHAnsi" w:hAnsiTheme="majorHAnsi" w:cs="Times New Roman"/>
          <w:sz w:val="24"/>
          <w:szCs w:val="24"/>
        </w:rPr>
        <w:t>Sr. Edwin Gualotuña</w:t>
      </w:r>
      <w:r w:rsidRPr="00C035E4">
        <w:rPr>
          <w:rFonts w:asciiTheme="majorHAnsi" w:hAnsiTheme="majorHAnsi" w:cs="Times New Roman"/>
          <w:sz w:val="24"/>
          <w:szCs w:val="24"/>
        </w:rPr>
        <w:tab/>
        <w:t>Ing. Mónica Borja</w:t>
      </w: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 xml:space="preserve">VOCAL GAD PARROQUIAL DE ALÁQUEZ </w:t>
      </w:r>
      <w:r w:rsidRPr="00C035E4">
        <w:rPr>
          <w:rFonts w:asciiTheme="majorHAnsi" w:hAnsiTheme="majorHAnsi" w:cs="Times New Roman"/>
          <w:b/>
          <w:sz w:val="20"/>
          <w:szCs w:val="20"/>
        </w:rPr>
        <w:tab/>
      </w:r>
      <w:r w:rsidRPr="00C035E4">
        <w:rPr>
          <w:rFonts w:asciiTheme="majorHAnsi" w:hAnsiTheme="majorHAnsi" w:cs="Times New Roman"/>
          <w:b/>
          <w:sz w:val="20"/>
          <w:szCs w:val="20"/>
        </w:rPr>
        <w:tab/>
        <w:t xml:space="preserve">TESORERA GAD ALAQUEZ </w:t>
      </w: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A86E89" w:rsidRPr="00C035E4" w:rsidRDefault="00A86E89" w:rsidP="00A86E89">
      <w:pPr>
        <w:tabs>
          <w:tab w:val="left" w:pos="5070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5C4B23" w:rsidRPr="00C035E4" w:rsidRDefault="005C4B23" w:rsidP="005C4B23">
      <w:pPr>
        <w:tabs>
          <w:tab w:val="left" w:pos="5670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35E4">
        <w:rPr>
          <w:rFonts w:asciiTheme="majorHAnsi" w:hAnsiTheme="majorHAnsi" w:cs="Times New Roman"/>
          <w:sz w:val="24"/>
          <w:szCs w:val="24"/>
        </w:rPr>
        <w:t>Ing. Miryan Álvarez</w:t>
      </w:r>
      <w:r w:rsidRPr="00C035E4">
        <w:rPr>
          <w:rFonts w:asciiTheme="majorHAnsi" w:hAnsiTheme="majorHAnsi" w:cs="Times New Roman"/>
          <w:sz w:val="24"/>
          <w:szCs w:val="24"/>
        </w:rPr>
        <w:tab/>
        <w:t>Ing. Carlos Bastidas</w:t>
      </w:r>
      <w:r w:rsidRPr="00C035E4">
        <w:rPr>
          <w:rFonts w:asciiTheme="majorHAnsi" w:hAnsiTheme="majorHAnsi" w:cs="Times New Roman"/>
          <w:sz w:val="24"/>
          <w:szCs w:val="24"/>
        </w:rPr>
        <w:tab/>
      </w:r>
    </w:p>
    <w:p w:rsidR="005C4B23" w:rsidRPr="00C035E4" w:rsidRDefault="00C753B6" w:rsidP="005C4B23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>SECRETARIA</w:t>
      </w:r>
      <w:r w:rsidR="005C4B23" w:rsidRPr="00C035E4">
        <w:rPr>
          <w:rFonts w:asciiTheme="majorHAnsi" w:hAnsiTheme="majorHAnsi" w:cs="Times New Roman"/>
          <w:b/>
          <w:sz w:val="20"/>
          <w:szCs w:val="20"/>
        </w:rPr>
        <w:t xml:space="preserve"> GAD</w:t>
      </w:r>
      <w:r w:rsidR="00A86E89" w:rsidRPr="00C035E4">
        <w:rPr>
          <w:rFonts w:asciiTheme="majorHAnsi" w:hAnsiTheme="majorHAnsi" w:cs="Times New Roman"/>
          <w:b/>
          <w:sz w:val="20"/>
          <w:szCs w:val="20"/>
        </w:rPr>
        <w:t xml:space="preserve"> ALÁQUEZ</w:t>
      </w:r>
      <w:r w:rsidR="00A86E89" w:rsidRPr="00C035E4">
        <w:rPr>
          <w:rFonts w:asciiTheme="majorHAnsi" w:hAnsiTheme="majorHAnsi" w:cs="Times New Roman"/>
          <w:b/>
        </w:rPr>
        <w:tab/>
      </w:r>
      <w:r w:rsidR="005C4B23" w:rsidRPr="00C035E4">
        <w:rPr>
          <w:rFonts w:asciiTheme="majorHAnsi" w:hAnsiTheme="majorHAnsi" w:cs="Times New Roman"/>
          <w:b/>
        </w:rPr>
        <w:tab/>
      </w:r>
      <w:r w:rsidR="005C4B23" w:rsidRPr="00C035E4">
        <w:rPr>
          <w:rFonts w:asciiTheme="majorHAnsi" w:hAnsiTheme="majorHAnsi" w:cs="Times New Roman"/>
          <w:b/>
          <w:sz w:val="20"/>
          <w:szCs w:val="20"/>
        </w:rPr>
        <w:t xml:space="preserve">PRESIDENTE COMISIÓN DE </w:t>
      </w:r>
      <w:r w:rsidR="005C4B23" w:rsidRPr="00C035E4">
        <w:rPr>
          <w:rFonts w:asciiTheme="majorHAnsi" w:hAnsiTheme="majorHAnsi" w:cs="Times New Roman"/>
          <w:b/>
          <w:sz w:val="20"/>
          <w:szCs w:val="20"/>
        </w:rPr>
        <w:tab/>
      </w:r>
      <w:r w:rsidR="005C4B23" w:rsidRPr="00C035E4">
        <w:rPr>
          <w:rFonts w:asciiTheme="majorHAnsi" w:hAnsiTheme="majorHAnsi" w:cs="Times New Roman"/>
          <w:b/>
          <w:sz w:val="20"/>
          <w:szCs w:val="20"/>
        </w:rPr>
        <w:tab/>
        <w:t>PLANIFICACIÓN Y TRANSPARENCIA</w:t>
      </w:r>
    </w:p>
    <w:p w:rsidR="00A86E89" w:rsidRPr="00C035E4" w:rsidRDefault="005C4B23" w:rsidP="005C4B23">
      <w:pPr>
        <w:tabs>
          <w:tab w:val="left" w:pos="5070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035E4">
        <w:rPr>
          <w:rFonts w:asciiTheme="majorHAnsi" w:hAnsiTheme="majorHAnsi" w:cs="Times New Roman"/>
          <w:b/>
          <w:sz w:val="20"/>
          <w:szCs w:val="20"/>
        </w:rPr>
        <w:tab/>
      </w:r>
      <w:r w:rsidRPr="00C035E4">
        <w:rPr>
          <w:rFonts w:asciiTheme="majorHAnsi" w:hAnsiTheme="majorHAnsi" w:cs="Times New Roman"/>
          <w:b/>
          <w:sz w:val="20"/>
          <w:szCs w:val="20"/>
        </w:rPr>
        <w:tab/>
        <w:t xml:space="preserve">DE LA PARROQUIA  </w:t>
      </w:r>
    </w:p>
    <w:p w:rsidR="00A86E89" w:rsidRPr="00C035E4" w:rsidRDefault="00A86E89" w:rsidP="00A86E89">
      <w:pPr>
        <w:tabs>
          <w:tab w:val="left" w:pos="5070"/>
        </w:tabs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C4B23" w:rsidRPr="00C035E4" w:rsidRDefault="005C4B23" w:rsidP="005C4B23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5C4B23" w:rsidRPr="00C035E4" w:rsidRDefault="005C4B23" w:rsidP="005C4B23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F0A70" w:rsidRPr="00C035E4" w:rsidRDefault="004F0A70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C035E4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392F9A" w:rsidRDefault="00392F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6E1B3C" w:rsidRP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MX"/>
        </w:rPr>
      </w:pPr>
      <w:r w:rsidRPr="006E1B3C">
        <w:rPr>
          <w:rFonts w:asciiTheme="majorHAnsi" w:hAnsiTheme="majorHAnsi"/>
          <w:b/>
          <w:sz w:val="24"/>
          <w:szCs w:val="24"/>
          <w:u w:val="single"/>
          <w:lang w:val="es-MX"/>
        </w:rPr>
        <w:t>PRESUPUESTO</w:t>
      </w: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303000</w:t>
      </w: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 xml:space="preserve"> GASTO CORRIENTE:</w:t>
      </w: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6806.28</w:t>
      </w: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lang w:val="es-MX"/>
        </w:rPr>
      </w:pPr>
    </w:p>
    <w:p w:rsidR="006E1B3C" w:rsidRDefault="006E1B3C" w:rsidP="002A1C79">
      <w:pPr>
        <w:spacing w:after="0" w:line="240" w:lineRule="auto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GASTO INVERSION:</w:t>
      </w:r>
    </w:p>
    <w:p w:rsidR="006E1B3C" w:rsidRDefault="006E1B3C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  <w:r w:rsidRPr="006E1B3C">
        <w:rPr>
          <w:rFonts w:asciiTheme="majorHAnsi" w:hAnsiTheme="majorHAnsi"/>
          <w:sz w:val="24"/>
          <w:szCs w:val="24"/>
          <w:lang w:val="es-MX"/>
        </w:rPr>
        <w:t xml:space="preserve">24000 + 6808.28= </w:t>
      </w:r>
    </w:p>
    <w:p w:rsidR="00FD1871" w:rsidRDefault="00FD1871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</w:p>
    <w:p w:rsidR="00FD1871" w:rsidRDefault="00FD1871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Incrementar el presupuesto de 30000, al presupuesto de construcción del GAD o a su vez se incremente a la ejecución del adoquinado de Chillos.</w:t>
      </w:r>
    </w:p>
    <w:p w:rsidR="008A679A" w:rsidRPr="006E1B3C" w:rsidRDefault="008A679A" w:rsidP="002A1C79">
      <w:pPr>
        <w:spacing w:after="0" w:line="240" w:lineRule="auto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Alex, se suba el presupuesto a la construcción del edificio del GAD</w:t>
      </w:r>
    </w:p>
    <w:sectPr w:rsidR="008A679A" w:rsidRPr="006E1B3C" w:rsidSect="005C4B23">
      <w:headerReference w:type="default" r:id="rId9"/>
      <w:footerReference w:type="default" r:id="rId10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11" w:rsidRDefault="00AF0811" w:rsidP="003B09A6">
      <w:pPr>
        <w:spacing w:after="0" w:line="240" w:lineRule="auto"/>
      </w:pPr>
      <w:r>
        <w:separator/>
      </w:r>
    </w:p>
  </w:endnote>
  <w:endnote w:type="continuationSeparator" w:id="0">
    <w:p w:rsidR="00AF0811" w:rsidRDefault="00AF0811" w:rsidP="003B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A6" w:rsidRDefault="003B09A6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1C57C914" wp14:editId="6EC9C560">
          <wp:simplePos x="0" y="0"/>
          <wp:positionH relativeFrom="column">
            <wp:posOffset>-1080135</wp:posOffset>
          </wp:positionH>
          <wp:positionV relativeFrom="paragraph">
            <wp:posOffset>-289560</wp:posOffset>
          </wp:positionV>
          <wp:extent cx="7629525" cy="874395"/>
          <wp:effectExtent l="0" t="0" r="9525" b="190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11" w:rsidRDefault="00AF0811" w:rsidP="003B09A6">
      <w:pPr>
        <w:spacing w:after="0" w:line="240" w:lineRule="auto"/>
      </w:pPr>
      <w:r>
        <w:separator/>
      </w:r>
    </w:p>
  </w:footnote>
  <w:footnote w:type="continuationSeparator" w:id="0">
    <w:p w:rsidR="00AF0811" w:rsidRDefault="00AF0811" w:rsidP="003B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A6" w:rsidRDefault="003B09A6">
    <w:pPr>
      <w:pStyle w:val="Encabezado"/>
    </w:pPr>
    <w:r>
      <w:rPr>
        <w:noProof/>
        <w:lang w:eastAsia="es-EC"/>
      </w:rPr>
      <w:drawing>
        <wp:inline distT="0" distB="0" distL="0" distR="0" wp14:anchorId="7134325B" wp14:editId="7A7CAF23">
          <wp:extent cx="5426075" cy="878205"/>
          <wp:effectExtent l="0" t="0" r="317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AA9"/>
    <w:multiLevelType w:val="hybridMultilevel"/>
    <w:tmpl w:val="9140C2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0F61"/>
    <w:multiLevelType w:val="hybridMultilevel"/>
    <w:tmpl w:val="489874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043B"/>
    <w:multiLevelType w:val="hybridMultilevel"/>
    <w:tmpl w:val="E2E6260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EF3F69"/>
    <w:multiLevelType w:val="hybridMultilevel"/>
    <w:tmpl w:val="C1BE4A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74B06"/>
    <w:multiLevelType w:val="hybridMultilevel"/>
    <w:tmpl w:val="D776816E"/>
    <w:lvl w:ilvl="0" w:tplc="9E360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A5BCE"/>
    <w:multiLevelType w:val="hybridMultilevel"/>
    <w:tmpl w:val="681A41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A6"/>
    <w:rsid w:val="00012324"/>
    <w:rsid w:val="000125B9"/>
    <w:rsid w:val="000304A0"/>
    <w:rsid w:val="00032AD7"/>
    <w:rsid w:val="000537DE"/>
    <w:rsid w:val="00057D98"/>
    <w:rsid w:val="00063BA8"/>
    <w:rsid w:val="00082948"/>
    <w:rsid w:val="000854E7"/>
    <w:rsid w:val="00095859"/>
    <w:rsid w:val="000A0F1B"/>
    <w:rsid w:val="000A189A"/>
    <w:rsid w:val="000B62C2"/>
    <w:rsid w:val="000E4BA9"/>
    <w:rsid w:val="000F726C"/>
    <w:rsid w:val="000F7482"/>
    <w:rsid w:val="00112B3B"/>
    <w:rsid w:val="00122C83"/>
    <w:rsid w:val="001261F2"/>
    <w:rsid w:val="00127ADD"/>
    <w:rsid w:val="00133F44"/>
    <w:rsid w:val="00136356"/>
    <w:rsid w:val="00141CAA"/>
    <w:rsid w:val="00161F69"/>
    <w:rsid w:val="001816D7"/>
    <w:rsid w:val="00186494"/>
    <w:rsid w:val="001A5BF0"/>
    <w:rsid w:val="001B02EA"/>
    <w:rsid w:val="001B3291"/>
    <w:rsid w:val="001D47E8"/>
    <w:rsid w:val="001F5DD6"/>
    <w:rsid w:val="00213A40"/>
    <w:rsid w:val="00272D7C"/>
    <w:rsid w:val="002765D0"/>
    <w:rsid w:val="00295CCD"/>
    <w:rsid w:val="00295EC5"/>
    <w:rsid w:val="002A1C79"/>
    <w:rsid w:val="002A58D0"/>
    <w:rsid w:val="002C2EF3"/>
    <w:rsid w:val="002F2159"/>
    <w:rsid w:val="00302995"/>
    <w:rsid w:val="00304D95"/>
    <w:rsid w:val="003156D1"/>
    <w:rsid w:val="00337CDC"/>
    <w:rsid w:val="0035099D"/>
    <w:rsid w:val="00354FC8"/>
    <w:rsid w:val="003729A9"/>
    <w:rsid w:val="00381B38"/>
    <w:rsid w:val="00383F6D"/>
    <w:rsid w:val="00384694"/>
    <w:rsid w:val="00392F9A"/>
    <w:rsid w:val="00393758"/>
    <w:rsid w:val="003A7F7B"/>
    <w:rsid w:val="003B09A6"/>
    <w:rsid w:val="003D28C7"/>
    <w:rsid w:val="003F0711"/>
    <w:rsid w:val="0040019C"/>
    <w:rsid w:val="00402A06"/>
    <w:rsid w:val="00407C93"/>
    <w:rsid w:val="004147CC"/>
    <w:rsid w:val="0042661B"/>
    <w:rsid w:val="00426E2F"/>
    <w:rsid w:val="004448DD"/>
    <w:rsid w:val="004630E7"/>
    <w:rsid w:val="004726B4"/>
    <w:rsid w:val="004761D8"/>
    <w:rsid w:val="004820D6"/>
    <w:rsid w:val="00482115"/>
    <w:rsid w:val="004A4856"/>
    <w:rsid w:val="004A7ED9"/>
    <w:rsid w:val="004B296A"/>
    <w:rsid w:val="004F0A70"/>
    <w:rsid w:val="004F692B"/>
    <w:rsid w:val="004F7185"/>
    <w:rsid w:val="004F7292"/>
    <w:rsid w:val="00511A30"/>
    <w:rsid w:val="00517E5E"/>
    <w:rsid w:val="00521DE1"/>
    <w:rsid w:val="00531E3F"/>
    <w:rsid w:val="00554D15"/>
    <w:rsid w:val="0056685A"/>
    <w:rsid w:val="00571594"/>
    <w:rsid w:val="00573320"/>
    <w:rsid w:val="005963DB"/>
    <w:rsid w:val="005A45B0"/>
    <w:rsid w:val="005B1462"/>
    <w:rsid w:val="005B319F"/>
    <w:rsid w:val="005C2A29"/>
    <w:rsid w:val="005C3D51"/>
    <w:rsid w:val="005C4B23"/>
    <w:rsid w:val="005D1DFB"/>
    <w:rsid w:val="005D2EB1"/>
    <w:rsid w:val="005E1D49"/>
    <w:rsid w:val="005E2097"/>
    <w:rsid w:val="005E3E68"/>
    <w:rsid w:val="005E48F1"/>
    <w:rsid w:val="00605611"/>
    <w:rsid w:val="0061308E"/>
    <w:rsid w:val="006162D1"/>
    <w:rsid w:val="00626EA6"/>
    <w:rsid w:val="00632639"/>
    <w:rsid w:val="00651658"/>
    <w:rsid w:val="00661DE9"/>
    <w:rsid w:val="006672F1"/>
    <w:rsid w:val="00671FF1"/>
    <w:rsid w:val="0067429F"/>
    <w:rsid w:val="00676A28"/>
    <w:rsid w:val="006802BD"/>
    <w:rsid w:val="00695583"/>
    <w:rsid w:val="006A3062"/>
    <w:rsid w:val="006B238E"/>
    <w:rsid w:val="006C3F8A"/>
    <w:rsid w:val="006C5DD2"/>
    <w:rsid w:val="006C7F2F"/>
    <w:rsid w:val="006D017D"/>
    <w:rsid w:val="006D7D7B"/>
    <w:rsid w:val="006E1B3C"/>
    <w:rsid w:val="007062EA"/>
    <w:rsid w:val="00706CF6"/>
    <w:rsid w:val="00712F76"/>
    <w:rsid w:val="007132BE"/>
    <w:rsid w:val="00717F1C"/>
    <w:rsid w:val="007357C8"/>
    <w:rsid w:val="00737AF9"/>
    <w:rsid w:val="0077113C"/>
    <w:rsid w:val="00776D89"/>
    <w:rsid w:val="00792652"/>
    <w:rsid w:val="00797A20"/>
    <w:rsid w:val="007A3BF5"/>
    <w:rsid w:val="007C0C2A"/>
    <w:rsid w:val="007C5D72"/>
    <w:rsid w:val="007E46B3"/>
    <w:rsid w:val="007F0D4B"/>
    <w:rsid w:val="007F7768"/>
    <w:rsid w:val="00811C96"/>
    <w:rsid w:val="008362D2"/>
    <w:rsid w:val="008666A4"/>
    <w:rsid w:val="008718D7"/>
    <w:rsid w:val="008760F9"/>
    <w:rsid w:val="008804BA"/>
    <w:rsid w:val="008924C6"/>
    <w:rsid w:val="008A563D"/>
    <w:rsid w:val="008A679A"/>
    <w:rsid w:val="008C0F07"/>
    <w:rsid w:val="008D5449"/>
    <w:rsid w:val="008F09D6"/>
    <w:rsid w:val="008F1F87"/>
    <w:rsid w:val="008F2C12"/>
    <w:rsid w:val="009008C7"/>
    <w:rsid w:val="00902BB1"/>
    <w:rsid w:val="00923D6C"/>
    <w:rsid w:val="009355B6"/>
    <w:rsid w:val="00945F0D"/>
    <w:rsid w:val="009610C7"/>
    <w:rsid w:val="0097542C"/>
    <w:rsid w:val="0098298D"/>
    <w:rsid w:val="0099321F"/>
    <w:rsid w:val="00997B5B"/>
    <w:rsid w:val="009A674B"/>
    <w:rsid w:val="009B7BB0"/>
    <w:rsid w:val="009C16D6"/>
    <w:rsid w:val="009C368C"/>
    <w:rsid w:val="009D5559"/>
    <w:rsid w:val="009E5CF9"/>
    <w:rsid w:val="009F540A"/>
    <w:rsid w:val="00A03741"/>
    <w:rsid w:val="00A1610F"/>
    <w:rsid w:val="00A24151"/>
    <w:rsid w:val="00A323CF"/>
    <w:rsid w:val="00A506DE"/>
    <w:rsid w:val="00A52D7F"/>
    <w:rsid w:val="00A86E89"/>
    <w:rsid w:val="00AB0425"/>
    <w:rsid w:val="00AB3117"/>
    <w:rsid w:val="00AC1C12"/>
    <w:rsid w:val="00AC2588"/>
    <w:rsid w:val="00AC6215"/>
    <w:rsid w:val="00AD3499"/>
    <w:rsid w:val="00AF04EA"/>
    <w:rsid w:val="00AF0811"/>
    <w:rsid w:val="00AF4842"/>
    <w:rsid w:val="00B01139"/>
    <w:rsid w:val="00B14C07"/>
    <w:rsid w:val="00B1676C"/>
    <w:rsid w:val="00B27AA9"/>
    <w:rsid w:val="00B37E74"/>
    <w:rsid w:val="00B46043"/>
    <w:rsid w:val="00B469DA"/>
    <w:rsid w:val="00BC0A60"/>
    <w:rsid w:val="00BC74B6"/>
    <w:rsid w:val="00BD199F"/>
    <w:rsid w:val="00BD6E6E"/>
    <w:rsid w:val="00BE06F7"/>
    <w:rsid w:val="00BE67EC"/>
    <w:rsid w:val="00C02294"/>
    <w:rsid w:val="00C035E4"/>
    <w:rsid w:val="00C03E95"/>
    <w:rsid w:val="00C16AB9"/>
    <w:rsid w:val="00C25786"/>
    <w:rsid w:val="00C40B00"/>
    <w:rsid w:val="00C42760"/>
    <w:rsid w:val="00C52665"/>
    <w:rsid w:val="00C53C93"/>
    <w:rsid w:val="00C753B6"/>
    <w:rsid w:val="00C91C6B"/>
    <w:rsid w:val="00C96F3A"/>
    <w:rsid w:val="00CA22B6"/>
    <w:rsid w:val="00CA7F7E"/>
    <w:rsid w:val="00CC1358"/>
    <w:rsid w:val="00CC255C"/>
    <w:rsid w:val="00CC6641"/>
    <w:rsid w:val="00CD7DBC"/>
    <w:rsid w:val="00CE0DEE"/>
    <w:rsid w:val="00CE10F6"/>
    <w:rsid w:val="00CE703E"/>
    <w:rsid w:val="00D0015E"/>
    <w:rsid w:val="00D01DAD"/>
    <w:rsid w:val="00D14763"/>
    <w:rsid w:val="00D166CD"/>
    <w:rsid w:val="00D16975"/>
    <w:rsid w:val="00D177E1"/>
    <w:rsid w:val="00D2213F"/>
    <w:rsid w:val="00D2531F"/>
    <w:rsid w:val="00D37761"/>
    <w:rsid w:val="00D551F6"/>
    <w:rsid w:val="00D5565E"/>
    <w:rsid w:val="00D65A6F"/>
    <w:rsid w:val="00D65C1C"/>
    <w:rsid w:val="00DA6F30"/>
    <w:rsid w:val="00DB13CB"/>
    <w:rsid w:val="00DB2A5B"/>
    <w:rsid w:val="00DB2C12"/>
    <w:rsid w:val="00E13220"/>
    <w:rsid w:val="00E4502F"/>
    <w:rsid w:val="00E475DD"/>
    <w:rsid w:val="00E47DB8"/>
    <w:rsid w:val="00E47FEE"/>
    <w:rsid w:val="00E525E1"/>
    <w:rsid w:val="00E564AD"/>
    <w:rsid w:val="00E71349"/>
    <w:rsid w:val="00E75E3B"/>
    <w:rsid w:val="00E77F66"/>
    <w:rsid w:val="00E86DCC"/>
    <w:rsid w:val="00EA5C70"/>
    <w:rsid w:val="00ED7FBB"/>
    <w:rsid w:val="00F1443E"/>
    <w:rsid w:val="00F1612C"/>
    <w:rsid w:val="00F23E88"/>
    <w:rsid w:val="00F5209D"/>
    <w:rsid w:val="00F56096"/>
    <w:rsid w:val="00F777FF"/>
    <w:rsid w:val="00F91195"/>
    <w:rsid w:val="00F92830"/>
    <w:rsid w:val="00FC037C"/>
    <w:rsid w:val="00FD1871"/>
    <w:rsid w:val="00FD5C6D"/>
    <w:rsid w:val="00FD5C94"/>
    <w:rsid w:val="00FE4CC8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6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03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3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3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09A6"/>
  </w:style>
  <w:style w:type="paragraph" w:styleId="Piedepgina">
    <w:name w:val="footer"/>
    <w:basedOn w:val="Normal"/>
    <w:link w:val="Piedepgina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9A6"/>
  </w:style>
  <w:style w:type="paragraph" w:styleId="Textodeglobo">
    <w:name w:val="Balloon Text"/>
    <w:basedOn w:val="Normal"/>
    <w:link w:val="TextodegloboCar"/>
    <w:uiPriority w:val="99"/>
    <w:semiHidden/>
    <w:unhideWhenUsed/>
    <w:rsid w:val="003B09A6"/>
    <w:pPr>
      <w:spacing w:after="0" w:line="240" w:lineRule="auto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558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03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03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035E4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paragraph" w:styleId="Lista">
    <w:name w:val="List"/>
    <w:basedOn w:val="Normal"/>
    <w:uiPriority w:val="99"/>
    <w:unhideWhenUsed/>
    <w:rsid w:val="00C035E4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C03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3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035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035E4"/>
    <w:rPr>
      <w:rFonts w:eastAsiaTheme="minorEastAsia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5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035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6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03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3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3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09A6"/>
  </w:style>
  <w:style w:type="paragraph" w:styleId="Piedepgina">
    <w:name w:val="footer"/>
    <w:basedOn w:val="Normal"/>
    <w:link w:val="Piedepgina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9A6"/>
  </w:style>
  <w:style w:type="paragraph" w:styleId="Textodeglobo">
    <w:name w:val="Balloon Text"/>
    <w:basedOn w:val="Normal"/>
    <w:link w:val="TextodegloboCar"/>
    <w:uiPriority w:val="99"/>
    <w:semiHidden/>
    <w:unhideWhenUsed/>
    <w:rsid w:val="003B09A6"/>
    <w:pPr>
      <w:spacing w:after="0" w:line="240" w:lineRule="auto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558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03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03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035E4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paragraph" w:styleId="Lista">
    <w:name w:val="List"/>
    <w:basedOn w:val="Normal"/>
    <w:uiPriority w:val="99"/>
    <w:unhideWhenUsed/>
    <w:rsid w:val="00C035E4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C03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3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035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035E4"/>
    <w:rPr>
      <w:rFonts w:eastAsiaTheme="minorEastAsia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5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035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A8C8-4F10-48A0-8DA3-F218F78C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2026-06-22T20:34:00Z</cp:lastPrinted>
  <dcterms:created xsi:type="dcterms:W3CDTF">2026-03-18T20:16:00Z</dcterms:created>
  <dcterms:modified xsi:type="dcterms:W3CDTF">2026-06-22T21:52:00Z</dcterms:modified>
</cp:coreProperties>
</file>